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2B0C61" w:rsidTr="002B0C61"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0C61" w:rsidRDefault="002B0C61">
            <w:r>
              <w:t>English Faculty A-E Grading Overview – Descriptors of Achievement Level in Areas of Assessment</w:t>
            </w:r>
          </w:p>
        </w:tc>
      </w:tr>
    </w:tbl>
    <w:p w:rsidR="002B0C61" w:rsidRDefault="002B0C61"/>
    <w:p w:rsidR="007C091A" w:rsidRDefault="007C091A">
      <w:r w:rsidRPr="002B0C61">
        <w:rPr>
          <w:b/>
          <w:u w:val="single"/>
        </w:rPr>
        <w:t>Introduction</w:t>
      </w:r>
    </w:p>
    <w:p w:rsidR="007C091A" w:rsidRDefault="007C091A">
      <w:r>
        <w:t>The following tables are organised by stage and year. The seven ‘Areas of Assessment’ developed by Bellingen High School</w:t>
      </w:r>
      <w:r w:rsidR="0041695E">
        <w:t xml:space="preserve"> English Faculty</w:t>
      </w:r>
      <w:r>
        <w:t xml:space="preserve"> are set out for each year</w:t>
      </w:r>
      <w:r w:rsidR="0041695E">
        <w:t xml:space="preserve"> and are followed by elaborations of the general performance descriptors for each ‘area’. These elaborations, henceforth called ‘Descriptors of Achievement Level’ are drawn from the following sources:</w:t>
      </w:r>
    </w:p>
    <w:p w:rsidR="0041695E" w:rsidRDefault="0041695E" w:rsidP="0041695E">
      <w:pPr>
        <w:pStyle w:val="ListParagraph"/>
        <w:numPr>
          <w:ilvl w:val="0"/>
          <w:numId w:val="2"/>
        </w:numPr>
      </w:pPr>
      <w:r>
        <w:t>BOSTES Course Performance Descriptors for English Stage 5.</w:t>
      </w:r>
    </w:p>
    <w:p w:rsidR="0041695E" w:rsidRDefault="0041695E" w:rsidP="0041695E">
      <w:pPr>
        <w:pStyle w:val="ListParagraph"/>
        <w:numPr>
          <w:ilvl w:val="0"/>
          <w:numId w:val="2"/>
        </w:numPr>
      </w:pPr>
      <w:r>
        <w:t>Literacy Continuum Clusters 13-16</w:t>
      </w:r>
    </w:p>
    <w:p w:rsidR="0041695E" w:rsidRDefault="0041695E" w:rsidP="0041695E">
      <w:pPr>
        <w:pStyle w:val="ListParagraph"/>
        <w:numPr>
          <w:ilvl w:val="0"/>
          <w:numId w:val="2"/>
        </w:numPr>
      </w:pPr>
      <w:r>
        <w:t>ETA and DEC Concept Continuum</w:t>
      </w:r>
    </w:p>
    <w:p w:rsidR="0041695E" w:rsidRDefault="0041695E" w:rsidP="0041695E">
      <w:pPr>
        <w:pStyle w:val="ListParagraph"/>
        <w:numPr>
          <w:ilvl w:val="0"/>
          <w:numId w:val="2"/>
        </w:numPr>
      </w:pPr>
      <w:r>
        <w:t>The Australian Curriculum Outcomes and Objectives for Stages 4 ad 5.</w:t>
      </w:r>
    </w:p>
    <w:p w:rsidR="0041695E" w:rsidRDefault="0041695E" w:rsidP="0041695E">
      <w:r w:rsidRPr="002B0C61">
        <w:rPr>
          <w:b/>
          <w:u w:val="single"/>
        </w:rPr>
        <w:t>Application of these descriptors of achievement level</w:t>
      </w:r>
    </w:p>
    <w:p w:rsidR="0041695E" w:rsidRDefault="0041695E" w:rsidP="0041695E">
      <w:r>
        <w:t>The English Faculty utilises these descriptors in the following ways:</w:t>
      </w:r>
    </w:p>
    <w:p w:rsidR="0041695E" w:rsidRDefault="0041695E" w:rsidP="0041695E">
      <w:pPr>
        <w:pStyle w:val="ListParagraph"/>
        <w:numPr>
          <w:ilvl w:val="0"/>
          <w:numId w:val="3"/>
        </w:numPr>
      </w:pPr>
      <w:r>
        <w:t>Student samples of achievement at each level for each area of assessment are kept as exemplars for students, parents and staff.</w:t>
      </w:r>
    </w:p>
    <w:p w:rsidR="0041695E" w:rsidRDefault="0041695E" w:rsidP="0041695E">
      <w:pPr>
        <w:pStyle w:val="ListParagraph"/>
        <w:numPr>
          <w:ilvl w:val="0"/>
          <w:numId w:val="3"/>
        </w:numPr>
      </w:pPr>
      <w:r>
        <w:t>Marking guidelines for assessment tasks are developed from these descriptors</w:t>
      </w:r>
    </w:p>
    <w:p w:rsidR="0041695E" w:rsidRDefault="0041695E" w:rsidP="0041695E">
      <w:pPr>
        <w:pStyle w:val="ListParagraph"/>
        <w:numPr>
          <w:ilvl w:val="0"/>
          <w:numId w:val="3"/>
        </w:numPr>
      </w:pPr>
      <w:r>
        <w:t>Moderation a</w:t>
      </w:r>
      <w:r w:rsidR="002B0C61">
        <w:t>n</w:t>
      </w:r>
      <w:r>
        <w:t>d marking of assessment tasks is guided by these descriptors.</w:t>
      </w:r>
    </w:p>
    <w:p w:rsidR="0041695E" w:rsidRDefault="0041695E" w:rsidP="0041695E"/>
    <w:p w:rsidR="00492D22" w:rsidRDefault="00492D22" w:rsidP="0041695E"/>
    <w:p w:rsidR="00492D22" w:rsidRDefault="00492D22" w:rsidP="0041695E"/>
    <w:p w:rsidR="00492D22" w:rsidRDefault="00492D22" w:rsidP="0041695E"/>
    <w:p w:rsidR="00492D22" w:rsidRDefault="00492D22" w:rsidP="0041695E"/>
    <w:p w:rsidR="007C091A" w:rsidRPr="00670FCD" w:rsidRDefault="007C091A">
      <w:pPr>
        <w:rPr>
          <w:b/>
        </w:rPr>
      </w:pPr>
      <w:r w:rsidRPr="00492D22">
        <w:rPr>
          <w:b/>
          <w:u w:val="single"/>
        </w:rPr>
        <w:lastRenderedPageBreak/>
        <w:t>General Performance Descriptors</w:t>
      </w:r>
      <w:r w:rsidR="00670FCD">
        <w:rPr>
          <w:b/>
        </w:rPr>
        <w:t xml:space="preserve"> (from DEC/NESA syllabus documents)</w:t>
      </w:r>
    </w:p>
    <w:p w:rsidR="007C091A" w:rsidRPr="007C091A" w:rsidRDefault="007C091A" w:rsidP="007C091A">
      <w:pPr>
        <w:spacing w:after="0" w:line="240" w:lineRule="auto"/>
        <w:rPr>
          <w:rFonts w:eastAsia="Times New Roman" w:cs="Times New Roman"/>
          <w:szCs w:val="24"/>
          <w:lang w:eastAsia="en-AU"/>
        </w:rPr>
      </w:pPr>
    </w:p>
    <w:tbl>
      <w:tblPr>
        <w:tblW w:w="0" w:type="auto"/>
        <w:tblInd w:w="15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3605"/>
      </w:tblGrid>
      <w:tr w:rsidR="007C091A" w:rsidRPr="007C091A" w:rsidTr="007C091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The student has an extensive knowledge and understanding of the content and can readily apply this knowledge. In addition, the student has achieved a very high level of competence in the processes and skills and can apply these skills to new situations.</w:t>
            </w:r>
          </w:p>
        </w:tc>
      </w:tr>
      <w:tr w:rsidR="007C091A" w:rsidRPr="007C091A" w:rsidTr="007C091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The student has a thorough knowledge and understanding of the content and a high level of competence in the processes and skills. In addition, the student is able to apply this knowledge and these skills to most situations.</w:t>
            </w:r>
          </w:p>
        </w:tc>
      </w:tr>
      <w:tr w:rsidR="007C091A" w:rsidRPr="007C091A" w:rsidTr="007C091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The student has a sound knowledge and understanding of the main areas of content and has achieved an adequate level of competence in the processes and skills.</w:t>
            </w:r>
          </w:p>
        </w:tc>
      </w:tr>
      <w:tr w:rsidR="007C091A" w:rsidRPr="007C091A" w:rsidTr="007C091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The student has a basic knowledge and understanding of the content and has achieved a limited level of competence in the processes and skills.</w:t>
            </w:r>
          </w:p>
        </w:tc>
      </w:tr>
      <w:tr w:rsidR="007C091A" w:rsidRPr="007C091A" w:rsidTr="007C091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91A" w:rsidRPr="007C091A" w:rsidRDefault="007C091A" w:rsidP="007C091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  <w:r w:rsidRPr="007C091A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The student has an elementary knowledge and understanding in few areas of the content and has achieved very limited competence in some of the processes and skills.</w:t>
            </w:r>
          </w:p>
        </w:tc>
      </w:tr>
    </w:tbl>
    <w:p w:rsidR="007C091A" w:rsidRDefault="007C091A"/>
    <w:p w:rsidR="00492D22" w:rsidRDefault="00492D22"/>
    <w:p w:rsidR="00492D22" w:rsidRDefault="00492D22"/>
    <w:p w:rsidR="00492D22" w:rsidRDefault="00492D22"/>
    <w:p w:rsidR="00492D22" w:rsidRDefault="00492D22"/>
    <w:p w:rsidR="00492D22" w:rsidRDefault="00492D22"/>
    <w:p w:rsidR="00492D22" w:rsidRDefault="00492D22"/>
    <w:p w:rsidR="00492D22" w:rsidRDefault="00492D22"/>
    <w:p w:rsidR="00A27E98" w:rsidRDefault="00A27E98">
      <w:pPr>
        <w:rPr>
          <w:b/>
          <w:u w:val="single"/>
        </w:rPr>
      </w:pPr>
      <w:r w:rsidRPr="00492D22">
        <w:rPr>
          <w:b/>
          <w:u w:val="single"/>
        </w:rPr>
        <w:lastRenderedPageBreak/>
        <w:t>Stage 4</w:t>
      </w:r>
      <w:r w:rsidR="007C091A" w:rsidRPr="00492D22">
        <w:rPr>
          <w:b/>
          <w:u w:val="single"/>
        </w:rPr>
        <w:t xml:space="preserve"> - </w:t>
      </w:r>
      <w:r w:rsidR="0063025C">
        <w:rPr>
          <w:b/>
          <w:u w:val="single"/>
        </w:rPr>
        <w:t>Year 7 and 8</w:t>
      </w:r>
      <w:r w:rsidR="0041695E" w:rsidRPr="00492D22">
        <w:rPr>
          <w:b/>
          <w:u w:val="single"/>
        </w:rPr>
        <w:t>: Descriptors of Achievement Level</w:t>
      </w:r>
    </w:p>
    <w:p w:rsidR="00670FCD" w:rsidRDefault="00670FCD" w:rsidP="00670FCD">
      <w:pPr>
        <w:pStyle w:val="Heading2"/>
        <w:jc w:val="center"/>
      </w:pPr>
      <w:r>
        <w:t>DEVELOPED BY AND FOR BELLINGEN HIGH SCHOOL©</w:t>
      </w:r>
      <w:bookmarkStart w:id="0" w:name="_GoBack"/>
      <w:bookmarkEnd w:id="0"/>
    </w:p>
    <w:p w:rsidR="00670FCD" w:rsidRPr="00670FCD" w:rsidRDefault="00670FCD" w:rsidP="00670FC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835"/>
        <w:gridCol w:w="2552"/>
        <w:gridCol w:w="2867"/>
      </w:tblGrid>
      <w:tr w:rsidR="00D85C68" w:rsidTr="00940EAA">
        <w:tc>
          <w:tcPr>
            <w:tcW w:w="2093" w:type="dxa"/>
          </w:tcPr>
          <w:p w:rsidR="00A27E98" w:rsidRDefault="00A27E98">
            <w:r>
              <w:t>Area of Assessment</w:t>
            </w:r>
          </w:p>
        </w:tc>
        <w:tc>
          <w:tcPr>
            <w:tcW w:w="2126" w:type="dxa"/>
          </w:tcPr>
          <w:p w:rsidR="00A27E98" w:rsidRDefault="00A27E98" w:rsidP="00A27E98">
            <w:pPr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A27E98" w:rsidRDefault="00A27E98" w:rsidP="00A27E98">
            <w:pPr>
              <w:jc w:val="center"/>
            </w:pPr>
            <w:r>
              <w:t>D</w:t>
            </w:r>
          </w:p>
        </w:tc>
        <w:tc>
          <w:tcPr>
            <w:tcW w:w="2835" w:type="dxa"/>
          </w:tcPr>
          <w:p w:rsidR="00A27E98" w:rsidRDefault="00A27E98" w:rsidP="00A27E98">
            <w:pPr>
              <w:jc w:val="center"/>
            </w:pPr>
            <w:r>
              <w:t>C</w:t>
            </w:r>
          </w:p>
        </w:tc>
        <w:tc>
          <w:tcPr>
            <w:tcW w:w="2552" w:type="dxa"/>
          </w:tcPr>
          <w:p w:rsidR="00A27E98" w:rsidRDefault="00A27E98" w:rsidP="00A27E98">
            <w:pPr>
              <w:jc w:val="center"/>
            </w:pPr>
            <w:r>
              <w:t>B</w:t>
            </w:r>
          </w:p>
        </w:tc>
        <w:tc>
          <w:tcPr>
            <w:tcW w:w="2867" w:type="dxa"/>
          </w:tcPr>
          <w:p w:rsidR="00A27E98" w:rsidRDefault="00A27E98" w:rsidP="00A27E98">
            <w:pPr>
              <w:jc w:val="center"/>
            </w:pPr>
            <w:r>
              <w:t>A</w:t>
            </w:r>
          </w:p>
        </w:tc>
      </w:tr>
      <w:tr w:rsidR="00D85C68" w:rsidTr="00940EAA">
        <w:tc>
          <w:tcPr>
            <w:tcW w:w="2093" w:type="dxa"/>
          </w:tcPr>
          <w:p w:rsidR="007C091A" w:rsidRDefault="007C091A" w:rsidP="007C091A">
            <w:pPr>
              <w:pStyle w:val="ListParagraph"/>
            </w:pPr>
          </w:p>
          <w:p w:rsidR="007C091A" w:rsidRDefault="00A27E98" w:rsidP="00A27E98">
            <w:pPr>
              <w:pStyle w:val="ListParagraph"/>
              <w:numPr>
                <w:ilvl w:val="0"/>
                <w:numId w:val="1"/>
              </w:numPr>
            </w:pPr>
            <w:r>
              <w:t xml:space="preserve">Response </w:t>
            </w:r>
          </w:p>
          <w:p w:rsidR="00A27E98" w:rsidRDefault="00A27E98" w:rsidP="007C091A">
            <w:pPr>
              <w:pStyle w:val="ListParagraph"/>
            </w:pPr>
            <w:r>
              <w:t>to text</w:t>
            </w:r>
          </w:p>
        </w:tc>
        <w:tc>
          <w:tcPr>
            <w:tcW w:w="2126" w:type="dxa"/>
          </w:tcPr>
          <w:p w:rsidR="00E560E5" w:rsidRPr="00492D22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E560E5" w:rsidRDefault="0087221C" w:rsidP="00E5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E560E5">
              <w:rPr>
                <w:sz w:val="20"/>
                <w:szCs w:val="20"/>
              </w:rPr>
              <w:t xml:space="preserve"> an elementary understanding of </w:t>
            </w:r>
            <w:r>
              <w:rPr>
                <w:sz w:val="20"/>
                <w:szCs w:val="20"/>
              </w:rPr>
              <w:t>some content drawn from</w:t>
            </w:r>
            <w:r w:rsidR="00E560E5" w:rsidRPr="00492D22">
              <w:rPr>
                <w:sz w:val="20"/>
                <w:szCs w:val="20"/>
              </w:rPr>
              <w:t xml:space="preserve"> texts; </w:t>
            </w:r>
          </w:p>
          <w:p w:rsidR="00A27E98" w:rsidRPr="00492D22" w:rsidRDefault="00A27E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60E5" w:rsidRPr="00492D22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E560E5" w:rsidRDefault="0087221C" w:rsidP="00E5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E560E5">
              <w:rPr>
                <w:sz w:val="20"/>
                <w:szCs w:val="20"/>
              </w:rPr>
              <w:t xml:space="preserve">s a basic understanding of </w:t>
            </w:r>
            <w:r>
              <w:rPr>
                <w:sz w:val="20"/>
                <w:szCs w:val="20"/>
              </w:rPr>
              <w:t xml:space="preserve">content drawn from </w:t>
            </w:r>
            <w:r w:rsidR="00E560E5">
              <w:rPr>
                <w:sz w:val="20"/>
                <w:szCs w:val="20"/>
              </w:rPr>
              <w:t xml:space="preserve">a </w:t>
            </w:r>
            <w:r w:rsidR="00E560E5" w:rsidRPr="00492D22">
              <w:rPr>
                <w:sz w:val="20"/>
                <w:szCs w:val="20"/>
              </w:rPr>
              <w:t xml:space="preserve"> range of texts; </w:t>
            </w:r>
          </w:p>
          <w:p w:rsidR="00A27E98" w:rsidRPr="00492D22" w:rsidRDefault="00A27E98" w:rsidP="00E56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60E5" w:rsidRPr="00492D22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E560E5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 xml:space="preserve">responds </w:t>
            </w:r>
            <w:r>
              <w:rPr>
                <w:sz w:val="20"/>
                <w:szCs w:val="20"/>
              </w:rPr>
              <w:t xml:space="preserve">soundly </w:t>
            </w:r>
            <w:r w:rsidRPr="00492D22">
              <w:rPr>
                <w:sz w:val="20"/>
                <w:szCs w:val="20"/>
              </w:rPr>
              <w:t xml:space="preserve">to a range of texts; </w:t>
            </w:r>
          </w:p>
          <w:p w:rsidR="00E560E5" w:rsidRDefault="00E560E5" w:rsidP="00E5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some </w:t>
            </w:r>
            <w:r w:rsidRPr="00492D22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 xml:space="preserve">ing of </w:t>
            </w:r>
            <w:r w:rsidRPr="00492D22">
              <w:rPr>
                <w:sz w:val="20"/>
                <w:szCs w:val="20"/>
              </w:rPr>
              <w:t xml:space="preserve"> features such as context and perspective</w:t>
            </w:r>
            <w:r>
              <w:rPr>
                <w:sz w:val="20"/>
                <w:szCs w:val="20"/>
              </w:rPr>
              <w:t>; demonstrates an adequate understanding of</w:t>
            </w:r>
            <w:r w:rsidRPr="00492D22">
              <w:rPr>
                <w:sz w:val="20"/>
                <w:szCs w:val="20"/>
              </w:rPr>
              <w:t xml:space="preserve"> complex texts; </w:t>
            </w:r>
          </w:p>
          <w:p w:rsidR="00A27E98" w:rsidRPr="00492D22" w:rsidRDefault="00A27E98" w:rsidP="00E560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560E5" w:rsidRPr="00492D22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E560E5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 xml:space="preserve">responds </w:t>
            </w:r>
            <w:r>
              <w:rPr>
                <w:sz w:val="20"/>
                <w:szCs w:val="20"/>
              </w:rPr>
              <w:t xml:space="preserve">thoughtfully </w:t>
            </w:r>
            <w:r w:rsidRPr="00492D22">
              <w:rPr>
                <w:sz w:val="20"/>
                <w:szCs w:val="20"/>
              </w:rPr>
              <w:t xml:space="preserve">to a range of demanding texts; </w:t>
            </w:r>
          </w:p>
          <w:p w:rsidR="00E560E5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understands features such as context and perspective</w:t>
            </w:r>
            <w:r>
              <w:rPr>
                <w:sz w:val="20"/>
                <w:szCs w:val="20"/>
              </w:rPr>
              <w:t xml:space="preserve"> to a high degree</w:t>
            </w:r>
            <w:r w:rsidRPr="00492D22">
              <w:rPr>
                <w:sz w:val="20"/>
                <w:szCs w:val="20"/>
              </w:rPr>
              <w:t xml:space="preserve">; </w:t>
            </w:r>
          </w:p>
          <w:p w:rsidR="00E560E5" w:rsidRDefault="00E560E5" w:rsidP="00E5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thoughtfully</w:t>
            </w:r>
            <w:r w:rsidRPr="00492D22">
              <w:rPr>
                <w:sz w:val="20"/>
                <w:szCs w:val="20"/>
              </w:rPr>
              <w:t xml:space="preserve"> analyses and evaluates complex texts; </w:t>
            </w:r>
          </w:p>
          <w:p w:rsidR="00A27E98" w:rsidRPr="00492D22" w:rsidRDefault="00E560E5" w:rsidP="00E560E5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can apply knowledge gained to new situations</w:t>
            </w:r>
          </w:p>
        </w:tc>
        <w:tc>
          <w:tcPr>
            <w:tcW w:w="2867" w:type="dxa"/>
          </w:tcPr>
          <w:p w:rsidR="00A27E98" w:rsidRPr="00492D22" w:rsidRDefault="00A27E98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E560E5" w:rsidRDefault="00A27E98" w:rsidP="007C091A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 xml:space="preserve">responds in depth and with insight to a range of demanding texts; </w:t>
            </w:r>
          </w:p>
          <w:p w:rsidR="00E560E5" w:rsidRDefault="007C091A" w:rsidP="007C091A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understands</w:t>
            </w:r>
            <w:r w:rsidR="00A27E98" w:rsidRPr="00492D22">
              <w:rPr>
                <w:sz w:val="20"/>
                <w:szCs w:val="20"/>
              </w:rPr>
              <w:t xml:space="preserve"> features such as context and perspective; constructively and critically analyses and evaluates complex texts</w:t>
            </w:r>
            <w:r w:rsidRPr="00492D22">
              <w:rPr>
                <w:sz w:val="20"/>
                <w:szCs w:val="20"/>
              </w:rPr>
              <w:t xml:space="preserve">; </w:t>
            </w:r>
          </w:p>
          <w:p w:rsidR="00A27E98" w:rsidRDefault="007C091A" w:rsidP="007C091A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can readily apply knowledge gained to new situations</w:t>
            </w:r>
          </w:p>
          <w:p w:rsidR="00EC03BB" w:rsidRPr="00492D22" w:rsidRDefault="00EC03BB" w:rsidP="007C091A">
            <w:pPr>
              <w:rPr>
                <w:sz w:val="20"/>
                <w:szCs w:val="20"/>
              </w:rPr>
            </w:pPr>
          </w:p>
        </w:tc>
      </w:tr>
      <w:tr w:rsidR="00D85C68" w:rsidTr="00940EAA">
        <w:tc>
          <w:tcPr>
            <w:tcW w:w="2093" w:type="dxa"/>
          </w:tcPr>
          <w:p w:rsidR="00B16CFC" w:rsidRDefault="00B16CFC" w:rsidP="00B16CFC">
            <w:pPr>
              <w:pStyle w:val="ListParagraph"/>
            </w:pPr>
          </w:p>
          <w:p w:rsidR="00A27E98" w:rsidRDefault="00A27E98" w:rsidP="00A27E98">
            <w:pPr>
              <w:pStyle w:val="ListParagraph"/>
              <w:numPr>
                <w:ilvl w:val="0"/>
                <w:numId w:val="1"/>
              </w:numPr>
            </w:pPr>
            <w:r>
              <w:t>Use of language forms and features</w:t>
            </w:r>
          </w:p>
        </w:tc>
        <w:tc>
          <w:tcPr>
            <w:tcW w:w="2126" w:type="dxa"/>
          </w:tcPr>
          <w:p w:rsidR="00CB31F6" w:rsidRPr="00492D22" w:rsidRDefault="00CB31F6" w:rsidP="00CB31F6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understanding of</w:t>
            </w:r>
            <w:r w:rsidRPr="00492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 forms and features</w:t>
            </w:r>
          </w:p>
          <w:p w:rsidR="00A27E98" w:rsidRPr="00492D22" w:rsidRDefault="00A27E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1F6" w:rsidRPr="00492D22" w:rsidRDefault="00CB31F6" w:rsidP="00CB31F6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basic knowledge of language forms and features</w:t>
            </w:r>
          </w:p>
          <w:p w:rsidR="00A27E98" w:rsidRPr="00492D22" w:rsidRDefault="00A27E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31F6" w:rsidRPr="00492D22" w:rsidRDefault="00CB31F6" w:rsidP="00CB31F6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sound knowledge of</w:t>
            </w:r>
            <w:r w:rsidRPr="00492D22">
              <w:rPr>
                <w:sz w:val="20"/>
                <w:szCs w:val="20"/>
              </w:rPr>
              <w:t xml:space="preserve"> language forms and features and </w:t>
            </w:r>
            <w:r>
              <w:rPr>
                <w:sz w:val="20"/>
                <w:szCs w:val="20"/>
              </w:rPr>
              <w:t>considers</w:t>
            </w:r>
            <w:r w:rsidRPr="00492D22">
              <w:rPr>
                <w:sz w:val="20"/>
                <w:szCs w:val="20"/>
              </w:rPr>
              <w:t xml:space="preserve"> their effectiveness in conveying the composer’s purpose</w:t>
            </w:r>
          </w:p>
          <w:p w:rsidR="00A27E98" w:rsidRPr="00492D22" w:rsidRDefault="00A27E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31F6" w:rsidRPr="00492D22" w:rsidRDefault="00CB31F6" w:rsidP="00CB31F6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thorough knowledge of</w:t>
            </w:r>
            <w:r w:rsidRPr="00492D22">
              <w:rPr>
                <w:sz w:val="20"/>
                <w:szCs w:val="20"/>
              </w:rPr>
              <w:t xml:space="preserve"> language forms and features and </w:t>
            </w:r>
            <w:r>
              <w:rPr>
                <w:sz w:val="20"/>
                <w:szCs w:val="20"/>
              </w:rPr>
              <w:t>understands</w:t>
            </w:r>
            <w:r w:rsidRPr="00492D22">
              <w:rPr>
                <w:sz w:val="20"/>
                <w:szCs w:val="20"/>
              </w:rPr>
              <w:t xml:space="preserve"> their effectiveness in conveying the composer’s purpose</w:t>
            </w:r>
          </w:p>
          <w:p w:rsidR="00EC03BB" w:rsidRDefault="00EC03BB" w:rsidP="00CB31F6">
            <w:pPr>
              <w:rPr>
                <w:sz w:val="20"/>
                <w:szCs w:val="20"/>
              </w:rPr>
            </w:pPr>
          </w:p>
          <w:p w:rsidR="00A27E98" w:rsidRPr="00492D22" w:rsidRDefault="00A27E98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A27E98" w:rsidRPr="00492D22" w:rsidRDefault="00492D22">
            <w:pPr>
              <w:rPr>
                <w:sz w:val="20"/>
                <w:szCs w:val="20"/>
              </w:rPr>
            </w:pPr>
            <w:r w:rsidRPr="00492D22">
              <w:rPr>
                <w:sz w:val="20"/>
                <w:szCs w:val="20"/>
              </w:rPr>
              <w:t>A student:</w:t>
            </w:r>
          </w:p>
          <w:p w:rsidR="00492D22" w:rsidRDefault="0049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extensive knowledge of</w:t>
            </w:r>
            <w:r w:rsidRPr="00492D22">
              <w:rPr>
                <w:sz w:val="20"/>
                <w:szCs w:val="20"/>
              </w:rPr>
              <w:t xml:space="preserve"> language forms and features and evaluates their effectiveness in conveying the composer’s purpose</w:t>
            </w:r>
          </w:p>
          <w:p w:rsidR="00B16CFC" w:rsidRPr="00492D22" w:rsidRDefault="00B16CFC">
            <w:pPr>
              <w:rPr>
                <w:sz w:val="20"/>
                <w:szCs w:val="20"/>
              </w:rPr>
            </w:pPr>
          </w:p>
        </w:tc>
      </w:tr>
      <w:tr w:rsidR="00D85C68" w:rsidTr="00940EAA">
        <w:tc>
          <w:tcPr>
            <w:tcW w:w="2093" w:type="dxa"/>
          </w:tcPr>
          <w:p w:rsidR="00B16CFC" w:rsidRDefault="00B16CFC" w:rsidP="00B16CFC">
            <w:pPr>
              <w:pStyle w:val="ListParagraph"/>
            </w:pPr>
          </w:p>
          <w:p w:rsidR="00A27E98" w:rsidRDefault="00A27E98" w:rsidP="00A27E98">
            <w:pPr>
              <w:pStyle w:val="ListParagraph"/>
              <w:numPr>
                <w:ilvl w:val="0"/>
                <w:numId w:val="1"/>
              </w:numPr>
            </w:pPr>
            <w:r>
              <w:t>Expression</w:t>
            </w:r>
          </w:p>
        </w:tc>
        <w:tc>
          <w:tcPr>
            <w:tcW w:w="2126" w:type="dxa"/>
          </w:tcPr>
          <w:p w:rsidR="00A27E98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Pr="00492D22" w:rsidRDefault="00D15B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</w:t>
            </w:r>
            <w:r w:rsidR="009A10F9">
              <w:rPr>
                <w:sz w:val="20"/>
                <w:szCs w:val="20"/>
              </w:rPr>
              <w:t>as</w:t>
            </w:r>
            <w:proofErr w:type="gramEnd"/>
            <w:r w:rsidR="009A10F9">
              <w:rPr>
                <w:sz w:val="20"/>
                <w:szCs w:val="20"/>
              </w:rPr>
              <w:t xml:space="preserve"> elementary understanding of the use of imagery. Their compositions are brief and deficient of imagery</w:t>
            </w:r>
          </w:p>
        </w:tc>
        <w:tc>
          <w:tcPr>
            <w:tcW w:w="1701" w:type="dxa"/>
          </w:tcPr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Default="00D15B5D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A10F9">
              <w:rPr>
                <w:sz w:val="20"/>
                <w:szCs w:val="20"/>
              </w:rPr>
              <w:t>xpresses him/herself in a basic manner attempting to use imagery</w:t>
            </w:r>
          </w:p>
          <w:p w:rsidR="009A10F9" w:rsidRDefault="009A10F9" w:rsidP="00CB31F6">
            <w:pPr>
              <w:rPr>
                <w:sz w:val="20"/>
                <w:szCs w:val="20"/>
              </w:rPr>
            </w:pPr>
          </w:p>
          <w:p w:rsidR="00A27E98" w:rsidRPr="00492D22" w:rsidRDefault="00A27E98" w:rsidP="00CB31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him/herself imaginatively in a sound manner through use of verbal and visual imagery;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sometimes able to utilise symbolic conceptual interpretations;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developing personal style;</w:t>
            </w:r>
          </w:p>
          <w:p w:rsidR="00A27E98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demonstrates sound ability with multimodal texts</w:t>
            </w:r>
          </w:p>
          <w:p w:rsidR="00EC03BB" w:rsidRDefault="00EC03BB" w:rsidP="00CB31F6">
            <w:pPr>
              <w:rPr>
                <w:sz w:val="20"/>
                <w:szCs w:val="20"/>
              </w:rPr>
            </w:pPr>
          </w:p>
          <w:p w:rsidR="00EC03BB" w:rsidRPr="00492D22" w:rsidRDefault="00EC03BB" w:rsidP="00CB31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student: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him/herself imaginatively in an effective manner through use of verbal and visual imagery;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utilise symbolic conceptual interpretations;</w:t>
            </w:r>
          </w:p>
          <w:p w:rsidR="00CB31F6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thoughtful personal style;</w:t>
            </w:r>
          </w:p>
          <w:p w:rsidR="00A27E98" w:rsidRPr="00492D22" w:rsidRDefault="00CB31F6" w:rsidP="00CB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demonstrates effective use of multimodal texts</w:t>
            </w:r>
          </w:p>
        </w:tc>
        <w:tc>
          <w:tcPr>
            <w:tcW w:w="2867" w:type="dxa"/>
          </w:tcPr>
          <w:p w:rsidR="00A27E98" w:rsidRDefault="0049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student:</w:t>
            </w:r>
          </w:p>
          <w:p w:rsidR="00492D22" w:rsidRDefault="0049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him/herself imaginatively in highly effective manner through use of verbal and visual imagery;</w:t>
            </w:r>
          </w:p>
          <w:p w:rsidR="00492D22" w:rsidRDefault="0049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typically able to utilise symbolic conceptual interpretations;</w:t>
            </w:r>
          </w:p>
          <w:p w:rsidR="00492D22" w:rsidRDefault="0049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distinct personal style;</w:t>
            </w:r>
          </w:p>
          <w:p w:rsidR="00492D22" w:rsidRPr="00492D22" w:rsidRDefault="0049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demonstrates confidence with multimodal texts</w:t>
            </w:r>
          </w:p>
        </w:tc>
      </w:tr>
      <w:tr w:rsidR="009A10F9" w:rsidRPr="00EA4014" w:rsidTr="00940EAA">
        <w:tc>
          <w:tcPr>
            <w:tcW w:w="2093" w:type="dxa"/>
          </w:tcPr>
          <w:p w:rsidR="009A10F9" w:rsidRPr="00EA4014" w:rsidRDefault="009A10F9" w:rsidP="00B16CFC">
            <w:pPr>
              <w:pStyle w:val="ListParagraph"/>
            </w:pPr>
          </w:p>
          <w:p w:rsidR="009A10F9" w:rsidRPr="00EA4014" w:rsidRDefault="009A10F9" w:rsidP="00A27E98">
            <w:pPr>
              <w:pStyle w:val="ListParagraph"/>
              <w:numPr>
                <w:ilvl w:val="0"/>
                <w:numId w:val="1"/>
              </w:numPr>
            </w:pPr>
            <w:r w:rsidRPr="00EA4014">
              <w:t>Composition of text</w:t>
            </w:r>
          </w:p>
        </w:tc>
        <w:tc>
          <w:tcPr>
            <w:tcW w:w="2126" w:type="dxa"/>
          </w:tcPr>
          <w:p w:rsidR="009A10F9" w:rsidRDefault="00D1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D15B5D" w:rsidRPr="00EA4014" w:rsidRDefault="00D15B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may</w:t>
            </w:r>
            <w:proofErr w:type="gramEnd"/>
            <w:r>
              <w:rPr>
                <w:sz w:val="20"/>
                <w:szCs w:val="20"/>
              </w:rPr>
              <w:t xml:space="preserve"> have difficulty constructing coherent texts. Written and spoken work may be disorganised</w:t>
            </w:r>
            <w:r w:rsidR="00FC333C">
              <w:rPr>
                <w:sz w:val="20"/>
                <w:szCs w:val="20"/>
              </w:rPr>
              <w:t xml:space="preserve"> or elementary</w:t>
            </w:r>
          </w:p>
        </w:tc>
        <w:tc>
          <w:tcPr>
            <w:tcW w:w="1701" w:type="dxa"/>
          </w:tcPr>
          <w:p w:rsidR="009A10F9" w:rsidRDefault="00D1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D15B5D" w:rsidRPr="00EA4014" w:rsidRDefault="00D15B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creates</w:t>
            </w:r>
            <w:proofErr w:type="gramEnd"/>
            <w:r>
              <w:rPr>
                <w:sz w:val="20"/>
                <w:szCs w:val="20"/>
              </w:rPr>
              <w:t xml:space="preserve"> texts with a basic overall structure and purpose. Texts will have significant deficiencies in structure and organisation</w:t>
            </w:r>
          </w:p>
        </w:tc>
        <w:tc>
          <w:tcPr>
            <w:tcW w:w="2835" w:type="dxa"/>
          </w:tcPr>
          <w:p w:rsidR="009A10F9" w:rsidRPr="00EA4014" w:rsidRDefault="009A10F9" w:rsidP="00940EAA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A student:</w:t>
            </w:r>
          </w:p>
          <w:p w:rsidR="009A10F9" w:rsidRPr="00EA4014" w:rsidRDefault="009A10F9" w:rsidP="00940EAA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creates focused</w:t>
            </w:r>
            <w:r w:rsidR="00EA4014" w:rsidRPr="00EA4014">
              <w:rPr>
                <w:sz w:val="20"/>
                <w:szCs w:val="20"/>
              </w:rPr>
              <w:t xml:space="preserve"> and coherent texts that show a developing style</w:t>
            </w:r>
            <w:r w:rsidRPr="00EA4014">
              <w:rPr>
                <w:sz w:val="20"/>
                <w:szCs w:val="20"/>
              </w:rPr>
              <w:t>;</w:t>
            </w:r>
          </w:p>
          <w:p w:rsidR="009A10F9" w:rsidRPr="00EA4014" w:rsidRDefault="009A10F9" w:rsidP="00940EAA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 xml:space="preserve">uses </w:t>
            </w:r>
            <w:r w:rsidR="00EA4014" w:rsidRPr="00EA4014">
              <w:rPr>
                <w:sz w:val="20"/>
                <w:szCs w:val="20"/>
              </w:rPr>
              <w:t xml:space="preserve">sound </w:t>
            </w:r>
            <w:r w:rsidRPr="00EA4014">
              <w:rPr>
                <w:sz w:val="20"/>
                <w:szCs w:val="20"/>
              </w:rPr>
              <w:t>oral and written techniques to compose texts for a variety of purposes;</w:t>
            </w:r>
          </w:p>
          <w:p w:rsidR="009A10F9" w:rsidRPr="00EA4014" w:rsidRDefault="009A10F9" w:rsidP="00EA4014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 xml:space="preserve">demonstrates </w:t>
            </w:r>
            <w:r w:rsidR="00EA4014" w:rsidRPr="00EA4014">
              <w:rPr>
                <w:sz w:val="20"/>
                <w:szCs w:val="20"/>
              </w:rPr>
              <w:t xml:space="preserve">sound </w:t>
            </w:r>
            <w:r w:rsidRPr="00EA4014">
              <w:rPr>
                <w:sz w:val="20"/>
                <w:szCs w:val="20"/>
              </w:rPr>
              <w:t>competence in oral presentations</w:t>
            </w:r>
          </w:p>
        </w:tc>
        <w:tc>
          <w:tcPr>
            <w:tcW w:w="2552" w:type="dxa"/>
          </w:tcPr>
          <w:p w:rsidR="009A10F9" w:rsidRPr="00EA4014" w:rsidRDefault="009A10F9" w:rsidP="00940EAA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A student:</w:t>
            </w:r>
          </w:p>
          <w:p w:rsidR="009A10F9" w:rsidRPr="00EA4014" w:rsidRDefault="009A10F9" w:rsidP="00940EAA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has a strong personal style;</w:t>
            </w:r>
          </w:p>
          <w:p w:rsidR="009A10F9" w:rsidRPr="00EA4014" w:rsidRDefault="009A10F9" w:rsidP="00940EAA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creates sustained and coherent texts that engage a specific audience;</w:t>
            </w:r>
          </w:p>
          <w:p w:rsidR="009A10F9" w:rsidRPr="00EA4014" w:rsidRDefault="009A10F9" w:rsidP="00940EAA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uses powerful oral and written techniques to compose texts for a variety of purposes;</w:t>
            </w:r>
          </w:p>
          <w:p w:rsidR="009A10F9" w:rsidRDefault="009A10F9" w:rsidP="009A10F9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demonstrates a high level competence in oral presentations</w:t>
            </w:r>
          </w:p>
          <w:p w:rsidR="00EC03BB" w:rsidRPr="00EA4014" w:rsidRDefault="00EC03BB" w:rsidP="009A10F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9A10F9" w:rsidRPr="00EA4014" w:rsidRDefault="009A10F9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A student:</w:t>
            </w:r>
          </w:p>
          <w:p w:rsidR="009A10F9" w:rsidRPr="00EA4014" w:rsidRDefault="009A10F9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has a distinct personal style;</w:t>
            </w:r>
          </w:p>
          <w:p w:rsidR="009A10F9" w:rsidRPr="00EA4014" w:rsidRDefault="009A10F9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creates sustained and coherent texts that engage a specific audience;</w:t>
            </w:r>
          </w:p>
          <w:p w:rsidR="009A10F9" w:rsidRPr="00EA4014" w:rsidRDefault="009A10F9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uses sophisticated oral and written techniques to compose texts for a variety of purposes;</w:t>
            </w:r>
          </w:p>
          <w:p w:rsidR="009A10F9" w:rsidRPr="00EA4014" w:rsidRDefault="009A10F9">
            <w:pPr>
              <w:rPr>
                <w:sz w:val="20"/>
                <w:szCs w:val="20"/>
              </w:rPr>
            </w:pPr>
            <w:r w:rsidRPr="00EA4014">
              <w:rPr>
                <w:sz w:val="20"/>
                <w:szCs w:val="20"/>
              </w:rPr>
              <w:t>demonstrates very high level competence in oral presentations</w:t>
            </w:r>
          </w:p>
        </w:tc>
      </w:tr>
      <w:tr w:rsidR="009A10F9" w:rsidTr="00940EAA">
        <w:tc>
          <w:tcPr>
            <w:tcW w:w="2093" w:type="dxa"/>
          </w:tcPr>
          <w:p w:rsidR="009A10F9" w:rsidRDefault="009A10F9" w:rsidP="00B16CFC">
            <w:pPr>
              <w:pStyle w:val="ListParagraph"/>
            </w:pPr>
          </w:p>
          <w:p w:rsidR="009A10F9" w:rsidRDefault="009A10F9" w:rsidP="00A27E98">
            <w:pPr>
              <w:pStyle w:val="ListParagraph"/>
              <w:numPr>
                <w:ilvl w:val="0"/>
                <w:numId w:val="1"/>
              </w:numPr>
            </w:pPr>
            <w:r>
              <w:t>Conceptual engagement</w:t>
            </w:r>
          </w:p>
        </w:tc>
        <w:tc>
          <w:tcPr>
            <w:tcW w:w="2126" w:type="dxa"/>
          </w:tcPr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Pr="00492D22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elementary understanding of higher order thinking; has elementary idea of conceptual engagement</w:t>
            </w:r>
          </w:p>
        </w:tc>
        <w:tc>
          <w:tcPr>
            <w:tcW w:w="1701" w:type="dxa"/>
          </w:tcPr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FC333C" w:rsidRPr="00492D22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limited understanding of higher order thinking;  has limited idea of conceptual engagement</w:t>
            </w:r>
          </w:p>
          <w:p w:rsidR="009A10F9" w:rsidRPr="00492D22" w:rsidRDefault="009A10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developing higher order thinking;</w:t>
            </w:r>
          </w:p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developing sound confidence to either confirm or challenge textual ideas; is developing an understanding of the relationships between texts and the influence of context and perspective; is developing</w:t>
            </w:r>
          </w:p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personal voice to express abstract ideas;</w:t>
            </w:r>
          </w:p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developing an understanding of how to generalise, amalgamate ideas and justify their interpretation</w:t>
            </w:r>
          </w:p>
          <w:p w:rsidR="009A10F9" w:rsidRPr="00492D22" w:rsidRDefault="009A10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10F9" w:rsidRDefault="00D1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higher order thinking;</w:t>
            </w:r>
          </w:p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developing effective confidence to either confirm or challenge textual ideas;</w:t>
            </w:r>
          </w:p>
          <w:p w:rsidR="00FC333C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understanding of the relationships between texts and the influence of context and perspective; has an understanding of how to develop a personal voice about abstract ideas;</w:t>
            </w:r>
          </w:p>
          <w:p w:rsidR="00D15B5D" w:rsidRPr="00492D22" w:rsidRDefault="00FC333C" w:rsidP="00FC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understanding of how to generalise, amalgamate ideas and justify their interpretation</w:t>
            </w:r>
          </w:p>
        </w:tc>
        <w:tc>
          <w:tcPr>
            <w:tcW w:w="2867" w:type="dxa"/>
          </w:tcPr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extensive higher order thinking;</w:t>
            </w:r>
          </w:p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confidence to either confirm or challenge textual ideas;</w:t>
            </w:r>
          </w:p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recognises relationships between texts and the influence of context and perspective;</w:t>
            </w:r>
          </w:p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develops a </w:t>
            </w:r>
            <w:r w:rsidR="00D15B5D">
              <w:rPr>
                <w:sz w:val="20"/>
                <w:szCs w:val="20"/>
              </w:rPr>
              <w:t xml:space="preserve">strong </w:t>
            </w:r>
            <w:r>
              <w:rPr>
                <w:sz w:val="20"/>
                <w:szCs w:val="20"/>
              </w:rPr>
              <w:t>personal voice about abstract ideas;</w:t>
            </w:r>
          </w:p>
          <w:p w:rsidR="009A10F9" w:rsidRPr="00492D22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generalise, amalgamate ideas and justify their interpretation</w:t>
            </w:r>
          </w:p>
        </w:tc>
      </w:tr>
      <w:tr w:rsidR="009A10F9" w:rsidTr="00940EAA">
        <w:tc>
          <w:tcPr>
            <w:tcW w:w="2093" w:type="dxa"/>
          </w:tcPr>
          <w:p w:rsidR="009A10F9" w:rsidRDefault="009A10F9" w:rsidP="00B16CFC">
            <w:pPr>
              <w:pStyle w:val="ListParagraph"/>
            </w:pPr>
          </w:p>
          <w:p w:rsidR="009A10F9" w:rsidRDefault="009A10F9" w:rsidP="00A27E98">
            <w:pPr>
              <w:pStyle w:val="ListParagraph"/>
              <w:numPr>
                <w:ilvl w:val="0"/>
                <w:numId w:val="1"/>
              </w:numPr>
            </w:pPr>
            <w:r>
              <w:t>Skills for learning</w:t>
            </w:r>
          </w:p>
        </w:tc>
        <w:tc>
          <w:tcPr>
            <w:tcW w:w="2126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elementary understanding of the skills required for learning</w:t>
            </w:r>
          </w:p>
        </w:tc>
        <w:tc>
          <w:tcPr>
            <w:tcW w:w="1701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limited understanding of self-reflection; demonstrates </w:t>
            </w:r>
            <w:r>
              <w:rPr>
                <w:sz w:val="20"/>
                <w:szCs w:val="20"/>
              </w:rPr>
              <w:lastRenderedPageBreak/>
              <w:t>limited engagement in evaluating work; does not work constructively with others</w:t>
            </w:r>
          </w:p>
        </w:tc>
        <w:tc>
          <w:tcPr>
            <w:tcW w:w="2835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student:</w:t>
            </w:r>
          </w:p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gaining an understanding on how to reflect on individual and collaborative skills;</w:t>
            </w:r>
          </w:p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gaining an understanding of </w:t>
            </w:r>
            <w:r>
              <w:rPr>
                <w:sz w:val="20"/>
                <w:szCs w:val="20"/>
              </w:rPr>
              <w:lastRenderedPageBreak/>
              <w:t>how to engage in critical self-reflection and critical evaluation of work;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learning to work with others</w:t>
            </w:r>
          </w:p>
        </w:tc>
        <w:tc>
          <w:tcPr>
            <w:tcW w:w="2552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student:</w:t>
            </w:r>
          </w:p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understanding on how to reflect on individual and collaborative skills;</w:t>
            </w:r>
          </w:p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 understanding of how </w:t>
            </w:r>
            <w:r>
              <w:rPr>
                <w:sz w:val="20"/>
                <w:szCs w:val="20"/>
              </w:rPr>
              <w:lastRenderedPageBreak/>
              <w:t>to engage in critical self-reflection and critical evaluation of work;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others (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reviewing, discussing and giving feedback)</w:t>
            </w:r>
          </w:p>
        </w:tc>
        <w:tc>
          <w:tcPr>
            <w:tcW w:w="2867" w:type="dxa"/>
          </w:tcPr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student:</w:t>
            </w:r>
          </w:p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on individual and collaborative skills;</w:t>
            </w:r>
          </w:p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in critical self-reflection and critical evaluation of work;</w:t>
            </w:r>
          </w:p>
          <w:p w:rsidR="009A10F9" w:rsidRPr="00492D22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works constructively with others (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reviewing, discussing and giving feedback)</w:t>
            </w:r>
          </w:p>
        </w:tc>
      </w:tr>
      <w:tr w:rsidR="009A10F9" w:rsidTr="00940EAA">
        <w:tc>
          <w:tcPr>
            <w:tcW w:w="2093" w:type="dxa"/>
          </w:tcPr>
          <w:p w:rsidR="009A10F9" w:rsidRDefault="009A10F9" w:rsidP="00B16CFC">
            <w:pPr>
              <w:pStyle w:val="ListParagraph"/>
            </w:pPr>
          </w:p>
          <w:p w:rsidR="009A10F9" w:rsidRDefault="009A10F9" w:rsidP="00A27E98">
            <w:pPr>
              <w:pStyle w:val="ListParagraph"/>
              <w:numPr>
                <w:ilvl w:val="0"/>
                <w:numId w:val="1"/>
              </w:numPr>
            </w:pPr>
            <w:r>
              <w:t>Control of language</w:t>
            </w:r>
          </w:p>
        </w:tc>
        <w:tc>
          <w:tcPr>
            <w:tcW w:w="2126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an elementary knowledge of the control of language.</w:t>
            </w:r>
          </w:p>
        </w:tc>
        <w:tc>
          <w:tcPr>
            <w:tcW w:w="1701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a limited knowledge of and a limited ability to apply language features.  Little paragraphing, spelling, sentence structure and modality</w:t>
            </w:r>
          </w:p>
        </w:tc>
        <w:tc>
          <w:tcPr>
            <w:tcW w:w="2835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knowledge of, and an ability to apply, some language features;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control paragraphing, spelling, sentence structure, and modality</w:t>
            </w:r>
          </w:p>
        </w:tc>
        <w:tc>
          <w:tcPr>
            <w:tcW w:w="2552" w:type="dxa"/>
          </w:tcPr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2012D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thorough knowledge of, and competent level ability to apply, a range of language features;</w:t>
            </w:r>
          </w:p>
          <w:p w:rsidR="009A10F9" w:rsidRPr="00492D22" w:rsidRDefault="0092012D" w:rsidP="0092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controls paragraphing, spelling, sentence structure, and modality</w:t>
            </w:r>
          </w:p>
        </w:tc>
        <w:tc>
          <w:tcPr>
            <w:tcW w:w="2867" w:type="dxa"/>
          </w:tcPr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student:</w:t>
            </w:r>
          </w:p>
          <w:p w:rsidR="009A10F9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extensive knowledge of, and high level ability to apply, a range of language features;</w:t>
            </w:r>
          </w:p>
          <w:p w:rsidR="009A10F9" w:rsidRPr="00492D22" w:rsidRDefault="009A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controls paragraphing, spelling, sentence structure, and modality</w:t>
            </w:r>
          </w:p>
        </w:tc>
      </w:tr>
    </w:tbl>
    <w:p w:rsidR="00A27E98" w:rsidRDefault="00A27E98" w:rsidP="00D85C68"/>
    <w:sectPr w:rsidR="00A27E98" w:rsidSect="00A27E9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AA" w:rsidRDefault="00940EAA" w:rsidP="0041695E">
      <w:pPr>
        <w:spacing w:after="0" w:line="240" w:lineRule="auto"/>
      </w:pPr>
      <w:r>
        <w:separator/>
      </w:r>
    </w:p>
  </w:endnote>
  <w:endnote w:type="continuationSeparator" w:id="0">
    <w:p w:rsidR="00940EAA" w:rsidRDefault="00940EAA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262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EAA" w:rsidRDefault="00940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EAA" w:rsidRDefault="00940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AA" w:rsidRDefault="00940EAA" w:rsidP="0041695E">
      <w:pPr>
        <w:spacing w:after="0" w:line="240" w:lineRule="auto"/>
      </w:pPr>
      <w:r>
        <w:separator/>
      </w:r>
    </w:p>
  </w:footnote>
  <w:footnote w:type="continuationSeparator" w:id="0">
    <w:p w:rsidR="00940EAA" w:rsidRDefault="00940EAA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A" w:rsidRDefault="00940EAA">
    <w:pPr>
      <w:pStyle w:val="Header"/>
    </w:pPr>
    <w:r>
      <w:t>BHS English Faculty A-E Grading Overview</w:t>
    </w:r>
  </w:p>
  <w:p w:rsidR="00940EAA" w:rsidRDefault="00940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8D1"/>
    <w:multiLevelType w:val="hybridMultilevel"/>
    <w:tmpl w:val="2FEE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07720"/>
    <w:multiLevelType w:val="hybridMultilevel"/>
    <w:tmpl w:val="A0B23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85B95"/>
    <w:multiLevelType w:val="hybridMultilevel"/>
    <w:tmpl w:val="4A96C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8"/>
    <w:rsid w:val="000C5788"/>
    <w:rsid w:val="000D00FC"/>
    <w:rsid w:val="001E5035"/>
    <w:rsid w:val="002B0C61"/>
    <w:rsid w:val="00313383"/>
    <w:rsid w:val="0041695E"/>
    <w:rsid w:val="00492D22"/>
    <w:rsid w:val="0063025C"/>
    <w:rsid w:val="00670FCD"/>
    <w:rsid w:val="00786015"/>
    <w:rsid w:val="007C091A"/>
    <w:rsid w:val="0087221C"/>
    <w:rsid w:val="00884275"/>
    <w:rsid w:val="0092012D"/>
    <w:rsid w:val="00940EAA"/>
    <w:rsid w:val="009A10F9"/>
    <w:rsid w:val="00A27E98"/>
    <w:rsid w:val="00AE5E00"/>
    <w:rsid w:val="00B16CFC"/>
    <w:rsid w:val="00CB31F6"/>
    <w:rsid w:val="00D15B5D"/>
    <w:rsid w:val="00D85C68"/>
    <w:rsid w:val="00E560E5"/>
    <w:rsid w:val="00EA4014"/>
    <w:rsid w:val="00EC03BB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788"/>
    <w:pPr>
      <w:keepNext/>
      <w:keepLines/>
      <w:pageBreakBefore/>
      <w:spacing w:before="1440" w:after="0"/>
      <w:jc w:val="center"/>
      <w:outlineLvl w:val="0"/>
    </w:pPr>
    <w:rPr>
      <w:rFonts w:eastAsiaTheme="majorEastAsia" w:cstheme="majorBidi"/>
      <w:b/>
      <w:bCs/>
      <w:color w:val="FFFFFF" w:themeColor="background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788"/>
    <w:pPr>
      <w:keepNext/>
      <w:keepLines/>
      <w:spacing w:before="200" w:after="0"/>
      <w:ind w:left="68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788"/>
    <w:pPr>
      <w:keepNext/>
      <w:keepLines/>
      <w:spacing w:before="200" w:after="0"/>
      <w:ind w:left="1418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788"/>
    <w:rPr>
      <w:rFonts w:ascii="Times New Roman" w:eastAsiaTheme="majorEastAsia" w:hAnsi="Times New Roman" w:cstheme="majorBidi"/>
      <w:b/>
      <w:bCs/>
      <w:color w:val="FFFFFF" w:themeColor="background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78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5788"/>
    <w:rPr>
      <w:rFonts w:eastAsiaTheme="majorEastAsia" w:cstheme="majorBidi"/>
      <w:b/>
      <w:bCs/>
      <w:i/>
      <w:iCs/>
    </w:rPr>
  </w:style>
  <w:style w:type="table" w:styleId="TableGrid">
    <w:name w:val="Table Grid"/>
    <w:basedOn w:val="TableNormal"/>
    <w:uiPriority w:val="59"/>
    <w:rsid w:val="00A2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5E"/>
  </w:style>
  <w:style w:type="paragraph" w:styleId="Footer">
    <w:name w:val="footer"/>
    <w:basedOn w:val="Normal"/>
    <w:link w:val="FooterChar"/>
    <w:uiPriority w:val="99"/>
    <w:unhideWhenUsed/>
    <w:rsid w:val="0041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5E"/>
  </w:style>
  <w:style w:type="paragraph" w:styleId="BalloonText">
    <w:name w:val="Balloon Text"/>
    <w:basedOn w:val="Normal"/>
    <w:link w:val="BalloonTextChar"/>
    <w:uiPriority w:val="99"/>
    <w:semiHidden/>
    <w:unhideWhenUsed/>
    <w:rsid w:val="004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788"/>
    <w:pPr>
      <w:keepNext/>
      <w:keepLines/>
      <w:pageBreakBefore/>
      <w:spacing w:before="1440" w:after="0"/>
      <w:jc w:val="center"/>
      <w:outlineLvl w:val="0"/>
    </w:pPr>
    <w:rPr>
      <w:rFonts w:eastAsiaTheme="majorEastAsia" w:cstheme="majorBidi"/>
      <w:b/>
      <w:bCs/>
      <w:color w:val="FFFFFF" w:themeColor="background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788"/>
    <w:pPr>
      <w:keepNext/>
      <w:keepLines/>
      <w:spacing w:before="200" w:after="0"/>
      <w:ind w:left="68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788"/>
    <w:pPr>
      <w:keepNext/>
      <w:keepLines/>
      <w:spacing w:before="200" w:after="0"/>
      <w:ind w:left="1418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788"/>
    <w:rPr>
      <w:rFonts w:ascii="Times New Roman" w:eastAsiaTheme="majorEastAsia" w:hAnsi="Times New Roman" w:cstheme="majorBidi"/>
      <w:b/>
      <w:bCs/>
      <w:color w:val="FFFFFF" w:themeColor="background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78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5788"/>
    <w:rPr>
      <w:rFonts w:eastAsiaTheme="majorEastAsia" w:cstheme="majorBidi"/>
      <w:b/>
      <w:bCs/>
      <w:i/>
      <w:iCs/>
    </w:rPr>
  </w:style>
  <w:style w:type="table" w:styleId="TableGrid">
    <w:name w:val="Table Grid"/>
    <w:basedOn w:val="TableNormal"/>
    <w:uiPriority w:val="59"/>
    <w:rsid w:val="00A2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5E"/>
  </w:style>
  <w:style w:type="paragraph" w:styleId="Footer">
    <w:name w:val="footer"/>
    <w:basedOn w:val="Normal"/>
    <w:link w:val="FooterChar"/>
    <w:uiPriority w:val="99"/>
    <w:unhideWhenUsed/>
    <w:rsid w:val="0041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5E"/>
  </w:style>
  <w:style w:type="paragraph" w:styleId="BalloonText">
    <w:name w:val="Balloon Text"/>
    <w:basedOn w:val="Normal"/>
    <w:link w:val="BalloonTextChar"/>
    <w:uiPriority w:val="99"/>
    <w:semiHidden/>
    <w:unhideWhenUsed/>
    <w:rsid w:val="004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4D65-5D92-4AFE-9108-3BA125FD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Gyenes, Thomas</cp:lastModifiedBy>
  <cp:revision>6</cp:revision>
  <cp:lastPrinted>2017-03-27T00:48:00Z</cp:lastPrinted>
  <dcterms:created xsi:type="dcterms:W3CDTF">2016-06-24T04:00:00Z</dcterms:created>
  <dcterms:modified xsi:type="dcterms:W3CDTF">2018-08-16T05:05:00Z</dcterms:modified>
</cp:coreProperties>
</file>